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Adjudikatorenvertrag (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SL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Bau)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Parteien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2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Adjudikator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haben am ____________ unter Einbeziehung der Streitl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sungsordnung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das Bauwesen (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 xml:space="preserve">Bau) </w:t>
      </w:r>
      <w:r>
        <w:rPr>
          <w:rFonts w:ascii="Arial" w:hAnsi="Arial"/>
          <w:rtl w:val="0"/>
          <w:lang w:val="de-DE"/>
        </w:rPr>
        <w:t>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 eine Adjudikationsvereinbarung getroffen.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diesem Vertrag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und der Adjudikator vereinbaren, ein Adjudikationsverfahren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 xml:space="preserve">den Abschnitten I und IV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I.</w:t>
        <w:tab/>
        <w:t>Gegenstand der Adjudikation</w:t>
      </w:r>
      <w:r>
        <w:rPr>
          <w:sz w:val="22"/>
          <w:szCs w:val="22"/>
          <w:vertAlign w:val="superscript"/>
        </w:rPr>
        <w:footnoteReference w:id="3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7937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Der Adjudikator wird 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r alle Streitigkeiten im Zusammenhang mit dem Vertrag ____________ betreffend das Bauvorhaben ____________ bestellt.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Der Adjudikator wird im Zusammenhang mit dem Vertrag ____________ betreffend das Bauvorhaben ____________ zur Behandlung der/des streitigen Themenkomplexe/s ____________ bestellt.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4"/>
          <w:szCs w:val="24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4"/>
          <w:szCs w:val="24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II.</w:t>
        <w:tab/>
        <w:t>Pflichten der Parteien und des Adjudikators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Parteien und der Adjudikator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bernehmen hiermit ausdr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 die ihnen in der </w:t>
      </w:r>
      <w:r>
        <w:rPr>
          <w:i w:val="1"/>
          <w:iCs w:val="1"/>
          <w:sz w:val="22"/>
          <w:szCs w:val="22"/>
          <w:rtl w:val="0"/>
          <w:lang w:val="de-DE"/>
        </w:rPr>
        <w:t>SL</w:t>
      </w:r>
      <w:r>
        <w:rPr>
          <w:i w:val="1"/>
          <w:iCs w:val="1"/>
          <w:sz w:val="22"/>
          <w:szCs w:val="22"/>
          <w:rtl w:val="0"/>
          <w:lang w:val="de-DE"/>
        </w:rPr>
        <w:t> </w:t>
      </w:r>
      <w:r>
        <w:rPr>
          <w:i w:val="1"/>
          <w:iCs w:val="1"/>
          <w:sz w:val="22"/>
          <w:szCs w:val="22"/>
          <w:rtl w:val="0"/>
          <w:lang w:val="de-DE"/>
        </w:rPr>
        <w:t>Bau</w:t>
      </w:r>
      <w:r>
        <w:rPr>
          <w:sz w:val="22"/>
          <w:szCs w:val="22"/>
          <w:rtl w:val="0"/>
          <w:lang w:val="de-DE"/>
        </w:rPr>
        <w:t xml:space="preserve"> zugeordneten Pflichten als pers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nliche Verpflichtung, insbesondere der Adjudikator die Pflicht zur Neutralit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t, Verschwiegenheit und Verfahrensverantwortung. Der Adjudikator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rt, dass keine Tatsachen vorliegen, die Zweifel an seiner Unparteilichkeit oder 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ngigkeit wecken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1134" w:firstLine="0"/>
        <w:rPr>
          <w:sz w:val="36"/>
          <w:szCs w:val="36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378763</wp:posOffset>
                </wp:positionH>
                <wp:positionV relativeFrom="line">
                  <wp:posOffset>57149</wp:posOffset>
                </wp:positionV>
                <wp:extent cx="125730" cy="125730"/>
                <wp:effectExtent l="0" t="0" r="0" b="0"/>
                <wp:wrapNone/>
                <wp:docPr id="1073741825" name="officeArt object" descr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.8pt;margin-top:4.5pt;width:9.9pt;height: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 xml:space="preserve">Die Parteien haben ein Adjudikatorengremium bestellt. Der Adjudikator Herr/Frau __________ wird zum Vorsitzenden gem. </w:t>
      </w:r>
      <w:r>
        <w:rPr>
          <w:sz w:val="22"/>
          <w:szCs w:val="22"/>
          <w:rtl w:val="0"/>
          <w:lang w:val="de-DE"/>
        </w:rPr>
        <w:t xml:space="preserve">§ </w:t>
      </w:r>
      <w:r>
        <w:rPr>
          <w:sz w:val="22"/>
          <w:szCs w:val="22"/>
          <w:rtl w:val="0"/>
          <w:lang w:val="de-DE"/>
        </w:rPr>
        <w:t xml:space="preserve">22 Abs. 1 bestellt.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haben sich in ihrer Adjudikationsvereinbarung verpflichtet, den Adjudikator sowie von ihm beigezogene fachkundige Dritte in einem nachfolgenden Schiedsgerichts- oder Gerichtsverfahren nicht als Zeugen oder Sachverst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ndige/n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Tatsachen zu benennen, die w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hrend des Adjudikationsverfahrens offenbart wurden.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III.</w:t>
        <w:tab/>
        <w:t>Bevollm</w:t>
      </w:r>
      <w:r>
        <w:rPr>
          <w:b w:val="1"/>
          <w:bCs w:val="1"/>
          <w:sz w:val="22"/>
          <w:szCs w:val="22"/>
          <w:rtl w:val="0"/>
          <w:lang w:val="de-DE"/>
        </w:rPr>
        <w:t>ä</w:t>
      </w:r>
      <w:r>
        <w:rPr>
          <w:b w:val="1"/>
          <w:bCs w:val="1"/>
          <w:sz w:val="22"/>
          <w:szCs w:val="22"/>
          <w:rtl w:val="0"/>
          <w:lang w:val="de-DE"/>
        </w:rPr>
        <w:t>chtigungen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Body Text"/>
        <w:tabs>
          <w:tab w:val="clear" w:pos="1985"/>
          <w:tab w:val="clear" w:pos="4536"/>
        </w:tabs>
        <w:spacing w:after="200"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 _______________________ benennt als entscheidungsbefugten Ansprechpartner (Bevollm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chtigten):</w:t>
      </w: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IV.</w:t>
        <w:tab/>
        <w:t>Beendigung des Adjudikatorenvertrages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Der Vertrag endet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Verfahrensbeendigung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27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jc w:val="left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 xml:space="preserve">durch Vereinbarung der Parteien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oder</w:t>
      </w: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851"/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durch 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cktrittserkl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 xml:space="preserve">rung des Adjudikators nach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6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6.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Nach Vertragsbeendigung hat der Adjudikator die ihm von den einzelnen Parteien zur Verf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gestellten Unterlagen unverz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glich an die jeweilige Partei herauszugeben.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V.</w:t>
        <w:tab/>
        <w:t>Verg</w:t>
      </w:r>
      <w:r>
        <w:rPr>
          <w:b w:val="1"/>
          <w:bCs w:val="1"/>
          <w:sz w:val="22"/>
          <w:szCs w:val="22"/>
          <w:rtl w:val="0"/>
          <w:lang w:val="de-DE"/>
        </w:rPr>
        <w:t>ü</w:t>
      </w:r>
      <w:r>
        <w:rPr>
          <w:b w:val="1"/>
          <w:bCs w:val="1"/>
          <w:sz w:val="22"/>
          <w:szCs w:val="22"/>
          <w:rtl w:val="0"/>
          <w:lang w:val="de-DE"/>
        </w:rPr>
        <w:t>tung und Auslagen des Adjudikators</w:t>
      </w:r>
      <w:r>
        <w:rPr>
          <w:sz w:val="22"/>
          <w:szCs w:val="22"/>
          <w:vertAlign w:val="superscript"/>
        </w:rPr>
        <w:footnoteReference w:id="4"/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tung und Auslagen richten sich nach </w:t>
      </w:r>
      <w:r>
        <w:rPr>
          <w:sz w:val="22"/>
          <w:szCs w:val="22"/>
          <w:rtl w:val="0"/>
          <w:lang w:val="de-DE"/>
        </w:rPr>
        <w:t>§§ </w:t>
      </w:r>
      <w:r>
        <w:rPr>
          <w:sz w:val="22"/>
          <w:szCs w:val="22"/>
          <w:rtl w:val="0"/>
          <w:lang w:val="de-DE"/>
        </w:rPr>
        <w:t>8 und 9.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tbl>
      <w:tblPr>
        <w:tblW w:w="8504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6"/>
        <w:gridCol w:w="7938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Adjudikators wird mit einem Stundensatz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5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des Adjudikators wird mit einem Tagessatz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09" w:firstLine="567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377493</wp:posOffset>
                </wp:positionH>
                <wp:positionV relativeFrom="line">
                  <wp:posOffset>46989</wp:posOffset>
                </wp:positionV>
                <wp:extent cx="125730" cy="125730"/>
                <wp:effectExtent l="0" t="0" r="0" b="0"/>
                <wp:wrapNone/>
                <wp:docPr id="1073741826" name="officeArt object" descr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.7pt;margin-top:3.7pt;width:9.9pt;height:9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>Die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tigkeit des Adjudikators wird wie folgt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tet: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________________________________________________________________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notwendigen Reisekosten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EUR/km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eigengenutzten PKW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Klasse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Bahnfahrten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Class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Flugreisen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Mietwagen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und sonstigen Auslagen des Adjudikators werden dem Adjudikator von den Parteien auf Nachweis erstattet.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tung und Auslagen werden von den Parteien zu gleichen Teilen getragen. Die Parteien sind dem Adjudikator als Gesamtschuldner verpflichtet.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verpflichten sich zur Zahlung binnen vier Wochen nach Rechnungslegung.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VI.</w:t>
        <w:tab/>
        <w:t>Besondere Vereinbarungen</w:t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ind w:left="567" w:firstLine="0"/>
        <w:rPr>
          <w:rFonts w:ascii="Arial" w:cs="Arial" w:hAnsi="Arial" w:eastAsia="Arial"/>
        </w:rPr>
      </w:pPr>
    </w:p>
    <w:p>
      <w:pPr>
        <w:pStyle w:val="Normal.0"/>
        <w:tabs>
          <w:tab w:val="right" w:pos="9046" w:leader="underscore"/>
        </w:tabs>
        <w:ind w:left="567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left" w:pos="567"/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widowControl w:val="0"/>
        <w:tabs>
          <w:tab w:val="left" w:pos="567"/>
          <w:tab w:val="clear" w:pos="1985"/>
          <w:tab w:val="clear" w:pos="4536"/>
        </w:tabs>
        <w:spacing w:line="240" w:lineRule="auto"/>
        <w:rPr>
          <w:sz w:val="22"/>
          <w:szCs w:val="22"/>
        </w:rPr>
      </w:pPr>
    </w:p>
    <w:p>
      <w:pPr>
        <w:pStyle w:val="Normal.0"/>
        <w:spacing w:after="120" w:line="300" w:lineRule="exact"/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mehrere Adjudikatoren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3">
    <w:p>
      <w:pPr>
        <w:pStyle w:val="footnote text"/>
        <w:spacing w:line="240" w:lineRule="auto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4">
    <w:p>
      <w:pPr>
        <w:pStyle w:val="footnote text"/>
      </w:pPr>
      <w:r>
        <w:rPr>
          <w:sz w:val="22"/>
          <w:szCs w:val="22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 xml:space="preserve"> bzw. ausf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llen.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