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300" w:lineRule="exact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Vereinbarung einer Adjudikation nach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SL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Bau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zwischen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  <w:r>
        <w:rPr>
          <w:rFonts w:ascii="Arial" w:cs="Arial" w:hAnsi="Arial" w:eastAsia="Arial"/>
          <w:vertAlign w:val="superscript"/>
        </w:rPr>
        <w:footnoteReference w:id="1"/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8"/>
        <w:gridCol w:w="7512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Parteien vereinbaren hiermit, ein Adjudikationsverfahren nach der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 in der Fassung vom 1.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Juli 2020, Abschnitte I und IV, durchzuf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hren. Die beigef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gte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 wird Vertragsbestandteil. Paragrafenangaben in dieser Vereinbarung beziehen sich auf die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>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Listenabsatz1"/>
        <w:keepNext w:val="1"/>
        <w:numPr>
          <w:ilvl w:val="0"/>
          <w:numId w:val="2"/>
        </w:numPr>
        <w:bidi w:val="0"/>
        <w:spacing w:line="300" w:lineRule="exact"/>
        <w:ind w:right="0"/>
        <w:jc w:val="both"/>
        <w:rPr>
          <w:sz w:val="22"/>
          <w:szCs w:val="22"/>
          <w:rtl w:val="0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Gegenstand der Adjudikation</w:t>
      </w:r>
      <w:r>
        <w:rPr>
          <w:sz w:val="22"/>
          <w:szCs w:val="22"/>
          <w:vertAlign w:val="superscript"/>
        </w:rPr>
        <w:footnoteReference w:id="2"/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Listenabsatz1"/>
        <w:spacing w:line="300" w:lineRule="exact"/>
        <w:ind w:left="567" w:firstLine="0"/>
        <w:rPr>
          <w:shd w:val="clear" w:color="auto" w:fill="ffff00"/>
        </w:rPr>
      </w:pPr>
      <w:r>
        <w:rPr>
          <w:rtl w:val="0"/>
          <w:lang w:val="de-DE"/>
        </w:rPr>
        <w:t>Gegenstand der Adjudikation sind folgende Feststellungen/Bewertungen</w:t>
      </w:r>
    </w:p>
    <w:p>
      <w:pPr>
        <w:pStyle w:val="Listenabsatz1"/>
        <w:spacing w:line="300" w:lineRule="exact"/>
        <w:ind w:left="567" w:firstLine="0"/>
        <w:rPr>
          <w:shd w:val="clear" w:color="auto" w:fill="ffff00"/>
        </w:rPr>
      </w:pPr>
    </w:p>
    <w:tbl>
      <w:tblPr>
        <w:tblW w:w="8504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7"/>
        <w:gridCol w:w="7937"/>
      </w:tblGrid>
      <w:tr>
        <w:tblPrEx>
          <w:shd w:val="clear" w:color="auto" w:fill="d0ddef"/>
        </w:tblPrEx>
        <w:trPr>
          <w:trHeight w:val="1207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Das Adjudikationsverfahren wird bei allen Streitigkeiten im Zusammenhang mit dem Vertrag ____________ betreffend das Bauvorhaben ____________ durchgef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hrt.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  <w:ind w:firstLine="1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Das Adjudikationsverfahren wird im Zusammenhang mit dem Vertrag ____________ betreffend das Bauvorhaben ____________ zur Behandlung der/des streitigen Themenkomplexe/s ____________ durchgef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hrt.</w:t>
            </w:r>
          </w:p>
        </w:tc>
      </w:tr>
    </w:tbl>
    <w:p>
      <w:pPr>
        <w:pStyle w:val="Listenabsatz1"/>
        <w:widowControl w:val="0"/>
        <w:spacing w:line="240" w:lineRule="auto"/>
        <w:ind w:left="550" w:hanging="550"/>
        <w:rPr>
          <w:shd w:val="clear" w:color="auto" w:fill="ffff00"/>
        </w:rPr>
      </w:pPr>
    </w:p>
    <w:p>
      <w:pPr>
        <w:pStyle w:val="Listenabsatz1"/>
        <w:spacing w:line="300" w:lineRule="exact"/>
        <w:ind w:left="567" w:firstLine="0"/>
      </w:pPr>
    </w:p>
    <w:p>
      <w:pPr>
        <w:pStyle w:val="Listenabsatz1"/>
        <w:keepNext w:val="1"/>
        <w:tabs>
          <w:tab w:val="left" w:pos="567"/>
        </w:tabs>
        <w:spacing w:line="300" w:lineRule="exact"/>
        <w:ind w:left="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enabsatz1"/>
        <w:keepNext w:val="1"/>
        <w:numPr>
          <w:ilvl w:val="0"/>
          <w:numId w:val="3"/>
        </w:numPr>
        <w:spacing w:line="300" w:lineRule="exact"/>
        <w:rPr>
          <w:lang w:val="de-DE"/>
        </w:rPr>
      </w:pPr>
      <w:r>
        <w:rPr>
          <w:b w:val="1"/>
          <w:bCs w:val="1"/>
          <w:rtl w:val="0"/>
          <w:lang w:val="de-DE"/>
        </w:rPr>
        <w:t>Adjudikatorenauswahl</w:t>
      </w:r>
    </w:p>
    <w:p>
      <w:pPr>
        <w:pStyle w:val="Normal.0"/>
        <w:spacing w:line="300" w:lineRule="exact"/>
        <w:ind w:left="567" w:firstLine="0"/>
        <w:rPr>
          <w:rFonts w:ascii="Arial" w:cs="Arial" w:hAnsi="Arial" w:eastAsia="Arial"/>
        </w:rPr>
      </w:pPr>
    </w:p>
    <w:p>
      <w:pPr>
        <w:pStyle w:val="Normal.0"/>
        <w:ind w:left="56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vereinbaren die Beauftragung von</w:t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ind w:left="56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Frau/Herr(e)n</w:t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tabs>
          <w:tab w:val="left" w:pos="993"/>
        </w:tabs>
        <w:ind w:left="567" w:firstLine="567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365759</wp:posOffset>
                </wp:positionH>
                <wp:positionV relativeFrom="line">
                  <wp:posOffset>69214</wp:posOffset>
                </wp:positionV>
                <wp:extent cx="125730" cy="332741"/>
                <wp:effectExtent l="0" t="0" r="0" b="0"/>
                <wp:wrapNone/>
                <wp:docPr id="1073741827" name="officeArt object" descr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332741"/>
                          <a:chOff x="0" y="0"/>
                          <a:chExt cx="125729" cy="332740"/>
                        </a:xfrm>
                      </wpg:grpSpPr>
                      <wps:wsp>
                        <wps:cNvPr id="1073741825" name="Rectangle 52"/>
                        <wps:cNvSpPr/>
                        <wps:spPr>
                          <a:xfrm>
                            <a:off x="-1" y="207009"/>
                            <a:ext cx="125731" cy="125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Rectangle 53"/>
                        <wps:cNvSpPr/>
                        <wps:spPr>
                          <a:xfrm>
                            <a:off x="-1" y="-1"/>
                            <a:ext cx="125731" cy="125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8.8pt;margin-top:5.4pt;width:9.9pt;height:26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729,332740">
                <w10:wrap type="none" side="bothSides" anchorx="text"/>
                <v:rect id="_x0000_s1027" style="position:absolute;left:0;top:207010;width:125729;height:12573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25729;height:12573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rial" w:hAnsi="Arial"/>
          <w:rtl w:val="0"/>
          <w:lang w:val="de-DE"/>
        </w:rPr>
        <w:t>als Einzeladjudikator.</w:t>
      </w:r>
    </w:p>
    <w:p>
      <w:pPr>
        <w:pStyle w:val="Normal.0"/>
        <w:ind w:left="567" w:firstLine="567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als Adjudikatorengremium.</w:t>
      </w:r>
    </w:p>
    <w:p>
      <w:pPr>
        <w:pStyle w:val="Normal.0"/>
        <w:spacing w:line="300" w:lineRule="exact"/>
        <w:ind w:left="567" w:firstLine="0"/>
        <w:rPr>
          <w:rFonts w:ascii="Arial" w:cs="Arial" w:hAnsi="Arial" w:eastAsia="Arial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1134" w:firstLine="0"/>
        <w:rPr>
          <w:sz w:val="36"/>
          <w:szCs w:val="36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374649</wp:posOffset>
                </wp:positionH>
                <wp:positionV relativeFrom="line">
                  <wp:posOffset>44713</wp:posOffset>
                </wp:positionV>
                <wp:extent cx="125730" cy="125730"/>
                <wp:effectExtent l="0" t="0" r="0" b="0"/>
                <wp:wrapNone/>
                <wp:docPr id="1073741828" name="officeArt object" descr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9.5pt;margin-top:3.5pt;width:9.9pt;height:9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  <w:rtl w:val="0"/>
          <w:lang w:val="de-DE"/>
        </w:rPr>
        <w:t xml:space="preserve">Die Parteien haben ein Adjudikatorengremium bestellt. Der Adjudikator Herr/Frau __________ ist Vorsitzender im Sinne des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 xml:space="preserve">22 Abs. 1. </w:t>
      </w:r>
    </w:p>
    <w:p>
      <w:pPr>
        <w:pStyle w:val="Normal.0"/>
        <w:spacing w:line="300" w:lineRule="exact"/>
        <w:ind w:left="567" w:firstLine="0"/>
        <w:rPr>
          <w:rFonts w:ascii="Arial" w:cs="Arial" w:hAnsi="Arial" w:eastAsia="Arial"/>
        </w:rPr>
      </w:pPr>
    </w:p>
    <w:p>
      <w:pPr>
        <w:pStyle w:val="Listenabsatz1"/>
        <w:spacing w:line="300" w:lineRule="exact"/>
        <w:ind w:left="567" w:firstLine="0"/>
      </w:pPr>
    </w:p>
    <w:p>
      <w:pPr>
        <w:pStyle w:val="Listenabsatz1"/>
        <w:spacing w:line="300" w:lineRule="exact"/>
        <w:ind w:left="567" w:firstLine="0"/>
      </w:pPr>
      <w:r>
        <w:rPr>
          <w:rtl w:val="0"/>
          <w:lang w:val="de-DE"/>
        </w:rPr>
        <w:t xml:space="preserve">Im Rahmen des </w:t>
      </w:r>
      <w:r>
        <w:rPr>
          <w:rtl w:val="0"/>
          <w:lang w:val="de-DE"/>
        </w:rPr>
        <w:t>§ </w:t>
      </w:r>
      <w:r>
        <w:rPr>
          <w:rtl w:val="0"/>
          <w:lang w:val="de-DE"/>
        </w:rPr>
        <w:t>22 Abs.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2 gilt auf Antrag einer Partei ein Bestimmungsrecht durch den Deutschen Beton- und Bautechnik-Verein E.V. (DBV).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Listenabsatz1"/>
        <w:keepNext w:val="1"/>
        <w:numPr>
          <w:ilvl w:val="0"/>
          <w:numId w:val="4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Gerichtsverfahren und Verj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hrung der Anspr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che</w:t>
      </w:r>
    </w:p>
    <w:p>
      <w:pPr>
        <w:pStyle w:val="Listenabsatz1"/>
        <w:spacing w:line="300" w:lineRule="exact"/>
        <w:ind w:left="567" w:firstLine="0"/>
      </w:pPr>
    </w:p>
    <w:p>
      <w:pPr>
        <w:pStyle w:val="Listenabsatz1"/>
        <w:tabs>
          <w:tab w:val="left" w:pos="993"/>
        </w:tabs>
        <w:spacing w:line="300" w:lineRule="exact"/>
        <w:ind w:left="992" w:hanging="425"/>
      </w:pPr>
      <w:r>
        <w:rPr>
          <w:rtl w:val="0"/>
          <w:lang w:val="de-DE"/>
        </w:rPr>
        <w:t>1.</w:t>
        <w:tab/>
        <w:t xml:space="preserve">Mit der Anrufung des Adjudikators nach </w:t>
      </w:r>
      <w:r>
        <w:rPr>
          <w:rtl w:val="0"/>
          <w:lang w:val="de-DE"/>
        </w:rPr>
        <w:t>§ </w:t>
      </w:r>
      <w:r>
        <w:rPr>
          <w:rtl w:val="0"/>
          <w:lang w:val="de-DE"/>
        </w:rPr>
        <w:t>23 wird die Verj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hrung der geltend </w:t>
        <w:tab/>
        <w:t>gemachten Anspr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che bis sechs Monate nach Verfahrensbeendigung gehemmt (</w:t>
      </w:r>
      <w:r>
        <w:rPr>
          <w:rtl w:val="0"/>
          <w:lang w:val="de-DE"/>
        </w:rPr>
        <w:t>§§ </w:t>
      </w:r>
      <w:r>
        <w:rPr>
          <w:rtl w:val="0"/>
          <w:lang w:val="de-DE"/>
        </w:rPr>
        <w:t>2 Abs.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6 Satz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1,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29).</w:t>
      </w:r>
    </w:p>
    <w:p>
      <w:pPr>
        <w:pStyle w:val="Listenabsatz1"/>
        <w:tabs>
          <w:tab w:val="left" w:pos="993"/>
        </w:tabs>
        <w:spacing w:line="300" w:lineRule="exact"/>
        <w:ind w:left="567" w:firstLine="0"/>
      </w:pPr>
    </w:p>
    <w:p>
      <w:pPr>
        <w:pStyle w:val="Listenabsatz1"/>
        <w:tabs>
          <w:tab w:val="left" w:pos="993"/>
        </w:tabs>
        <w:spacing w:line="300" w:lineRule="exact"/>
        <w:ind w:left="987" w:hanging="420"/>
      </w:pPr>
      <w:r>
        <w:rPr>
          <w:rtl w:val="0"/>
          <w:lang w:val="de-DE"/>
        </w:rPr>
        <w:t>2.</w:t>
        <w:tab/>
        <w:t>Ferner vereinbaren die Parteien, dass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hrend der Durchf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hrung der Adjudikation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die in I. bezeichnete Streitigkeit bis zu deren Beendigung auf die Anrufung eines ordentlichen Gerichts oder Schiedsgerichts verzichtet wird. Ausgenommen hiervon sind Arrest (</w:t>
      </w:r>
      <w:r>
        <w:rPr>
          <w:rtl w:val="0"/>
          <w:lang w:val="de-DE"/>
        </w:rPr>
        <w:t>§§ </w:t>
      </w:r>
      <w:r>
        <w:rPr>
          <w:rtl w:val="0"/>
          <w:lang w:val="de-DE"/>
        </w:rPr>
        <w:t>916 ff. ZPO), einstweilige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 (</w:t>
      </w:r>
      <w:r>
        <w:rPr>
          <w:rtl w:val="0"/>
          <w:lang w:val="de-DE"/>
        </w:rPr>
        <w:t>§§ </w:t>
      </w:r>
      <w:r>
        <w:rPr>
          <w:rtl w:val="0"/>
          <w:lang w:val="de-DE"/>
        </w:rPr>
        <w:t xml:space="preserve">935 ff. ZPO;      </w:t>
      </w:r>
      <w:r>
        <w:rPr>
          <w:rtl w:val="0"/>
          <w:lang w:val="de-DE"/>
        </w:rPr>
        <w:t>§ </w:t>
      </w:r>
      <w:r>
        <w:rPr>
          <w:rtl w:val="0"/>
          <w:lang w:val="de-DE"/>
        </w:rPr>
        <w:t>650 d BGB) und das selbst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Beweisverfahren (</w:t>
      </w:r>
      <w:r>
        <w:rPr>
          <w:rtl w:val="0"/>
          <w:lang w:val="de-DE"/>
        </w:rPr>
        <w:t>§§ </w:t>
      </w:r>
      <w:r>
        <w:rPr>
          <w:rtl w:val="0"/>
          <w:lang w:val="de-DE"/>
        </w:rPr>
        <w:t>485 ff. ZPO).</w:t>
      </w:r>
    </w:p>
    <w:p>
      <w:pPr>
        <w:pStyle w:val="Listenabsatz1"/>
        <w:tabs>
          <w:tab w:val="left" w:pos="993"/>
        </w:tabs>
        <w:spacing w:line="300" w:lineRule="exact"/>
        <w:ind w:left="567" w:firstLine="0"/>
      </w:pPr>
    </w:p>
    <w:p>
      <w:pPr>
        <w:pStyle w:val="Listenabsatz1"/>
        <w:tabs>
          <w:tab w:val="left" w:pos="993"/>
        </w:tabs>
        <w:spacing w:line="300" w:lineRule="exact"/>
        <w:ind w:left="987" w:hanging="420"/>
      </w:pPr>
      <w:r>
        <w:rPr>
          <w:rtl w:val="0"/>
          <w:lang w:val="de-DE"/>
        </w:rPr>
        <w:t>3.</w:t>
        <w:tab/>
        <w:t>Die Parteien vereinbaren, bereits laufende Gerichtsverfahren in Bezug auf die in I. bezeichnete Streitigkeit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hrend der Dauer der Adjudikation nicht weiter zu betreiben.</w:t>
      </w:r>
    </w:p>
    <w:p>
      <w:pPr>
        <w:pStyle w:val="Normal.0"/>
        <w:tabs>
          <w:tab w:val="left" w:pos="1134"/>
        </w:tabs>
        <w:spacing w:line="300" w:lineRule="exact"/>
        <w:ind w:left="567" w:hanging="567"/>
        <w:rPr>
          <w:rFonts w:ascii="Arial" w:cs="Arial" w:hAnsi="Arial" w:eastAsia="Arial"/>
        </w:rPr>
      </w:pPr>
    </w:p>
    <w:p>
      <w:pPr>
        <w:pStyle w:val="Normal.0"/>
        <w:tabs>
          <w:tab w:val="left" w:pos="1134"/>
        </w:tabs>
        <w:spacing w:line="300" w:lineRule="exact"/>
        <w:ind w:left="567" w:hanging="567"/>
        <w:rPr>
          <w:rFonts w:ascii="Arial" w:cs="Arial" w:hAnsi="Arial" w:eastAsia="Arial"/>
        </w:rPr>
      </w:pPr>
    </w:p>
    <w:p>
      <w:pPr>
        <w:pStyle w:val="Listenabsatz1"/>
        <w:keepNext w:val="1"/>
        <w:numPr>
          <w:ilvl w:val="0"/>
          <w:numId w:val="3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Benennung als Zeuge und Sachverst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ndige</w:t>
      </w: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spacing w:line="300" w:lineRule="exact"/>
        <w:ind w:left="567" w:firstLine="0"/>
        <w:rPr>
          <w:b w:val="1"/>
          <w:bCs w:val="1"/>
        </w:rPr>
      </w:pPr>
      <w:r>
        <w:rPr>
          <w:rtl w:val="0"/>
          <w:lang w:val="de-DE"/>
        </w:rPr>
        <w:t>Die Parteien vereinbaren, soweit 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 des Adjudikationsverfahrens betroffen sind, den Adjudikator sowie von ihm beigezogene fachkundige Dritte nicht als Zeugen oder Sachverst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ndige/n zu benennen.</w:t>
      </w:r>
      <w:r>
        <w:rPr>
          <w:rStyle w:val="footnote reference"/>
        </w:rPr>
        <w:footnoteReference w:id="3"/>
      </w:r>
    </w:p>
    <w:p>
      <w:pPr>
        <w:pStyle w:val="Listenabsatz1"/>
        <w:spacing w:line="300" w:lineRule="exact"/>
        <w:ind w:left="567" w:hanging="567"/>
      </w:pPr>
    </w:p>
    <w:p>
      <w:pPr>
        <w:pStyle w:val="Normal.0"/>
        <w:spacing w:line="24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enabsatz1"/>
        <w:keepNext w:val="1"/>
        <w:numPr>
          <w:ilvl w:val="0"/>
          <w:numId w:val="3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Adjudikationsentscheidung und ihre Wirkungen</w:t>
      </w:r>
    </w:p>
    <w:p>
      <w:pPr>
        <w:pStyle w:val="Normal.0"/>
        <w:tabs>
          <w:tab w:val="left" w:pos="851"/>
        </w:tabs>
        <w:spacing w:line="300" w:lineRule="exact"/>
        <w:rPr>
          <w:rFonts w:ascii="Arial" w:cs="Arial" w:hAnsi="Arial" w:eastAsia="Arial"/>
        </w:rPr>
      </w:pPr>
    </w:p>
    <w:p>
      <w:pPr>
        <w:pStyle w:val="Body Text 2"/>
        <w:spacing w:line="300" w:lineRule="exact"/>
        <w:ind w:left="56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erkl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ren ausdr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cklich, die Regelungen der </w:t>
      </w:r>
      <w:r>
        <w:rPr>
          <w:rFonts w:ascii="Arial" w:hAnsi="Arial" w:hint="default"/>
          <w:rtl w:val="0"/>
          <w:lang w:val="de-DE"/>
        </w:rPr>
        <w:t>§§ </w:t>
      </w:r>
      <w:r>
        <w:rPr>
          <w:rFonts w:ascii="Arial" w:hAnsi="Arial"/>
          <w:rtl w:val="0"/>
          <w:lang w:val="de-DE"/>
        </w:rPr>
        <w:t>25, 26 und 28 zur Kenntnis genommen zu haben.</w:t>
      </w:r>
    </w:p>
    <w:p>
      <w:pPr>
        <w:pStyle w:val="Body Text 2"/>
        <w:spacing w:line="300" w:lineRule="exact"/>
        <w:ind w:left="567" w:firstLine="0"/>
        <w:rPr>
          <w:rFonts w:ascii="Arial" w:cs="Arial" w:hAnsi="Arial" w:eastAsia="Arial"/>
        </w:rPr>
      </w:pPr>
    </w:p>
    <w:p>
      <w:pPr>
        <w:pStyle w:val="Body Text 2"/>
        <w:spacing w:line="300" w:lineRule="exact"/>
        <w:ind w:left="567" w:firstLine="0"/>
        <w:rPr>
          <w:rFonts w:ascii="Arial" w:cs="Arial" w:hAnsi="Arial" w:eastAsia="Arial"/>
        </w:rPr>
      </w:pPr>
    </w:p>
    <w:p>
      <w:pPr>
        <w:pStyle w:val="Listenabsatz1"/>
        <w:keepNext w:val="1"/>
        <w:numPr>
          <w:ilvl w:val="0"/>
          <w:numId w:val="3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Anwaltsvergleich</w:t>
      </w:r>
    </w:p>
    <w:p>
      <w:pPr>
        <w:pStyle w:val="Listenabsatz1"/>
        <w:spacing w:line="300" w:lineRule="exact"/>
        <w:ind w:left="540" w:firstLine="0"/>
      </w:pPr>
    </w:p>
    <w:p>
      <w:pPr>
        <w:pStyle w:val="Listenabsatz1"/>
        <w:spacing w:line="300" w:lineRule="exact"/>
        <w:ind w:left="540" w:firstLine="0"/>
      </w:pPr>
      <w:r>
        <w:rPr>
          <w:rtl w:val="0"/>
          <w:lang w:val="de-DE"/>
        </w:rPr>
        <w:t>Hinweis: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Fall, dass die Parteien anwaltlich vertreten sind,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sie eine streitbeendende Vereinbarung in der Form eines vollstreckbaren Anwaltsvergleichs gem</w:t>
      </w:r>
      <w:r>
        <w:rPr>
          <w:rtl w:val="0"/>
          <w:lang w:val="de-DE"/>
        </w:rPr>
        <w:t>äß §§ </w:t>
      </w:r>
      <w:r>
        <w:rPr>
          <w:rtl w:val="0"/>
          <w:lang w:val="de-DE"/>
        </w:rPr>
        <w:t>796 a-c ZPO treffen.</w:t>
      </w: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keepNext w:val="1"/>
        <w:numPr>
          <w:ilvl w:val="0"/>
          <w:numId w:val="3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Weitere Vereinbarungen</w:t>
      </w:r>
    </w:p>
    <w:p>
      <w:pPr>
        <w:pStyle w:val="Listenabsatz1"/>
        <w:spacing w:line="300" w:lineRule="exact"/>
        <w:ind w:left="0" w:firstLine="0"/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keepNext w:val="1"/>
        <w:numPr>
          <w:ilvl w:val="0"/>
          <w:numId w:val="3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Beendigung/Scheitern der Adjudikation</w:t>
      </w:r>
    </w:p>
    <w:p>
      <w:pPr>
        <w:pStyle w:val="Listenabsatz1"/>
        <w:spacing w:line="300" w:lineRule="exact"/>
        <w:ind w:left="567" w:hanging="567"/>
      </w:pPr>
    </w:p>
    <w:p>
      <w:pPr>
        <w:pStyle w:val="Normal.0"/>
        <w:tabs>
          <w:tab w:val="left" w:pos="851"/>
        </w:tabs>
        <w:spacing w:line="300" w:lineRule="exact"/>
        <w:ind w:left="567" w:hanging="567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den Fall der Beendigung gem</w:t>
      </w:r>
      <w:r>
        <w:rPr>
          <w:rFonts w:ascii="Arial" w:hAnsi="Arial" w:hint="default"/>
          <w:rtl w:val="0"/>
          <w:lang w:val="de-DE"/>
        </w:rPr>
        <w:t>äß § </w:t>
      </w:r>
      <w:r>
        <w:rPr>
          <w:rFonts w:ascii="Arial" w:hAnsi="Arial"/>
          <w:rtl w:val="0"/>
          <w:lang w:val="de-DE"/>
        </w:rPr>
        <w:t>27 oder des Widerspruchs einer Partei gegen eine Adjudikationsentscheidung gem</w:t>
      </w:r>
      <w:r>
        <w:rPr>
          <w:rFonts w:ascii="Arial" w:hAnsi="Arial" w:hint="default"/>
          <w:rtl w:val="0"/>
          <w:lang w:val="de-DE"/>
        </w:rPr>
        <w:t>äß § </w:t>
      </w:r>
      <w:r>
        <w:rPr>
          <w:rFonts w:ascii="Arial" w:hAnsi="Arial"/>
          <w:rtl w:val="0"/>
          <w:lang w:val="de-DE"/>
        </w:rPr>
        <w:t>28 Abs.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1 vereinbaren die Parteien</w:t>
      </w:r>
    </w:p>
    <w:p>
      <w:pPr>
        <w:pStyle w:val="Normal.0"/>
        <w:tabs>
          <w:tab w:val="left" w:pos="851"/>
        </w:tabs>
        <w:spacing w:line="300" w:lineRule="exact"/>
        <w:ind w:left="567" w:hanging="567"/>
        <w:rPr>
          <w:rFonts w:ascii="Arial" w:cs="Arial" w:hAnsi="Arial" w:eastAsia="Arial"/>
        </w:rPr>
      </w:pPr>
    </w:p>
    <w:tbl>
      <w:tblPr>
        <w:tblW w:w="8504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7"/>
        <w:gridCol w:w="7937"/>
      </w:tblGrid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 xml:space="preserve">ein Schiedsgerichtsverfahren nach der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e-DE"/>
              </w:rPr>
              <w:t>SL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e-DE"/>
              </w:rPr>
              <w:t> 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e-DE"/>
              </w:rPr>
              <w:t>Bau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 xml:space="preserve"> in der Fassung vom 1.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Juli 2020 unter Ausschluss des ordentlichen Rechtsweges gem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 xml:space="preserve">äß 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beigef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gter Vereinbarung.</w:t>
            </w:r>
          </w:p>
        </w:tc>
      </w:tr>
    </w:tbl>
    <w:p>
      <w:pPr>
        <w:pStyle w:val="Normal.0"/>
        <w:widowControl w:val="0"/>
        <w:tabs>
          <w:tab w:val="left" w:pos="851"/>
        </w:tabs>
        <w:spacing w:line="240" w:lineRule="auto"/>
        <w:ind w:left="550" w:hanging="550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8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4"/>
        <w:gridCol w:w="445"/>
        <w:gridCol w:w="4263"/>
      </w:tblGrid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7" w:hRule="atLeast"/>
        </w:trPr>
        <w:tc>
          <w:tcPr>
            <w:tcW w:type="dxa" w:w="4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Anlage</w:t>
            </w: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SL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Bau</w:t>
            </w:r>
            <w:r>
              <w:rPr>
                <w:shd w:val="nil" w:color="auto" w:fill="auto"/>
                <w:rtl w:val="0"/>
                <w:lang w:val="de-DE"/>
              </w:rPr>
              <w:t xml:space="preserve"> in der Fassung vom 1. Juli 2020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left"/>
    </w:pPr>
    <w:r>
      <w:rPr>
        <w:rFonts w:ascii="Arial" w:hAnsi="Arial"/>
        <w:sz w:val="18"/>
        <w:szCs w:val="18"/>
        <w:rtl w:val="0"/>
        <w:lang w:val="de-DE"/>
      </w:rPr>
      <w:tab/>
      <w:t xml:space="preserve">Seite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de-DE"/>
      </w:rPr>
      <w:t xml:space="preserve"> von 3</w:t>
      <w:tab/>
    </w:r>
    <w:r>
      <w:rPr>
        <w:rFonts w:ascii="Arial" w:hAnsi="Arial" w:hint="default"/>
        <w:sz w:val="18"/>
        <w:szCs w:val="18"/>
        <w:rtl w:val="0"/>
        <w:lang w:val="de-DE"/>
      </w:rPr>
      <w:t>©</w:t>
    </w:r>
    <w:r>
      <w:rPr>
        <w:rFonts w:ascii="Arial" w:hAnsi="Arial"/>
        <w:sz w:val="18"/>
        <w:szCs w:val="18"/>
        <w:rtl w:val="0"/>
        <w:lang w:val="de-DE"/>
      </w:rPr>
      <w:t xml:space="preserve"> </w:t>
    </w:r>
    <w:r>
      <w:rPr>
        <w:rFonts w:ascii="Arial" w:hAnsi="Arial"/>
        <w:sz w:val="18"/>
        <w:szCs w:val="18"/>
        <w:rtl w:val="0"/>
      </w:rPr>
      <w:t>DBV/DGfB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spacing w:line="240" w:lineRule="auto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/>
          <w:sz w:val="18"/>
          <w:szCs w:val="18"/>
          <w:rtl w:val="0"/>
          <w:lang w:val="de-DE"/>
        </w:rPr>
        <w:t>alls mehr als zwei Parteien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2">
    <w:p>
      <w:pPr>
        <w:pStyle w:val="footnote text"/>
        <w:spacing w:line="240" w:lineRule="auto"/>
      </w:pPr>
      <w:r>
        <w:rPr>
          <w:rStyle w:val="footnote reference"/>
        </w:rPr>
        <w:footnoteRef/>
      </w:r>
      <w:r>
        <w:rPr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Zutreffende Alternative bitte ankreuzen.</w:t>
      </w:r>
    </w:p>
  </w:footnote>
  <w:footnote w:id="3">
    <w:p>
      <w:pPr>
        <w:pStyle w:val="footnote text"/>
      </w:pPr>
      <w:r>
        <w:rPr>
          <w:rStyle w:val="footnote reference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 xml:space="preserve">Abweichend von </w:t>
      </w:r>
      <w:r>
        <w:rPr>
          <w:rFonts w:ascii="Arial" w:hAnsi="Arial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" w:hAnsi="Arial"/>
          <w:sz w:val="18"/>
          <w:szCs w:val="18"/>
          <w:rtl w:val="0"/>
          <w:lang w:val="de-DE"/>
        </w:rPr>
        <w:t>22 Abs. 5.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7"/>
  </w:abstractNum>
  <w:abstractNum w:abstractNumId="1">
    <w:multiLevelType w:val="hybridMultilevel"/>
    <w:styleLink w:val="Importierter Stil: 7"/>
    <w:lvl w:ilvl="0">
      <w:start w:val="1"/>
      <w:numFmt w:val="upperRoman"/>
      <w:suff w:val="tab"/>
      <w:lvlText w:val="%1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</w:tabs>
        <w:ind w:left="144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2160" w:hanging="31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8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360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4320" w:hanging="31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504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576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6480" w:hanging="31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567" w:hanging="56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</w:tabs>
          <w:ind w:left="144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</w:tabs>
          <w:ind w:left="2160" w:hanging="30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</w:tabs>
          <w:ind w:left="288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</w:tabs>
          <w:ind w:left="360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</w:tabs>
          <w:ind w:left="4320" w:hanging="30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</w:tabs>
          <w:ind w:left="504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</w:tabs>
          <w:ind w:left="576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</w:tabs>
          <w:ind w:left="6480" w:hanging="30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567"/>
          </w:tabs>
          <w:ind w:left="425" w:hanging="42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</w:tabs>
          <w:ind w:left="1298" w:hanging="21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567"/>
          </w:tabs>
          <w:ind w:left="2018" w:hanging="1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</w:tabs>
          <w:ind w:left="2738" w:hanging="21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</w:tabs>
          <w:ind w:left="3458" w:hanging="21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567"/>
          </w:tabs>
          <w:ind w:left="4178" w:hanging="1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</w:tabs>
          <w:ind w:left="4898" w:hanging="21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</w:tabs>
          <w:ind w:left="5618" w:hanging="21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567"/>
          </w:tabs>
          <w:ind w:left="6338" w:hanging="1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eachSect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enabsatz1">
    <w:name w:val="Listenabsatz1"/>
    <w:next w:val="Listenabsatz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7">
    <w:name w:val="Importierter Stil: 7"/>
    <w:pPr>
      <w:numPr>
        <w:numId w:val="1"/>
      </w:numPr>
    </w:pPr>
  </w:style>
  <w:style w:type="character" w:styleId="footnote reference">
    <w:name w:val="footnote reference"/>
    <w:rPr>
      <w:vertAlign w:val="superscrip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985"/>
        <w:tab w:val="left" w:pos="4536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54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