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Vereinbarung einer Schlichtung nach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Parteien vereinbaren hiermit, ein Schlichtungsverfahren nach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2020, Abschnitte I und III,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 Die beigef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gte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wird Vertragsbestandteil. Paragrafenangaben in dieser Vereinbarung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. 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Gegenstand des Schlichtungsverfahrens</w:t>
      </w:r>
      <w:r>
        <w:rPr>
          <w:b w:val="1"/>
          <w:bCs w:val="1"/>
          <w:vertAlign w:val="superscript"/>
        </w:rPr>
        <w:footnoteReference w:id="2"/>
      </w:r>
    </w:p>
    <w:p>
      <w:pPr>
        <w:pStyle w:val="Listenabsatz1"/>
        <w:spacing w:line="300" w:lineRule="exact"/>
        <w:ind w:left="0" w:firstLine="567"/>
        <w:rPr>
          <w:i w:val="1"/>
          <w:iCs w:val="1"/>
        </w:rPr>
      </w:pPr>
    </w:p>
    <w:tbl>
      <w:tblPr>
        <w:tblW w:w="850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8"/>
        <w:gridCol w:w="7938"/>
      </w:tblGrid>
      <w:tr>
        <w:tblPrEx>
          <w:shd w:val="clear" w:color="auto" w:fill="d0ddef"/>
        </w:tblPrEx>
        <w:trPr>
          <w:trHeight w:val="12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Schlichtungsverfahren wird bei allen Streitigkeiten im Zusammenhang mit dem Vertrag ____________ betreffend das Bauvorhaben ____________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Schlichtungsverfahren wird im Zusammenhang mit dem Vertrag ____________ betreffend das Bauvorhaben ___________ zur Behandlung der/des streitigen Themenkomplexe/s 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</w:p>
        </w:tc>
      </w:tr>
    </w:tbl>
    <w:p>
      <w:pPr>
        <w:pStyle w:val="Listenabsatz1"/>
        <w:widowControl w:val="0"/>
        <w:spacing w:line="240" w:lineRule="auto"/>
        <w:ind w:left="550" w:hanging="550"/>
        <w:rPr>
          <w:i w:val="1"/>
          <w:iCs w:val="1"/>
        </w:rPr>
      </w:pPr>
    </w:p>
    <w:p>
      <w:pPr>
        <w:pStyle w:val="Listenabsatz1"/>
        <w:tabs>
          <w:tab w:val="left" w:pos="567"/>
        </w:tabs>
        <w:spacing w:line="300" w:lineRule="exact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3"/>
        </w:numPr>
        <w:spacing w:line="300" w:lineRule="exact"/>
        <w:rPr>
          <w:lang w:val="de-DE"/>
        </w:rPr>
      </w:pPr>
      <w:r>
        <w:rPr>
          <w:b w:val="1"/>
          <w:bCs w:val="1"/>
          <w:rtl w:val="0"/>
          <w:lang w:val="de-DE"/>
        </w:rPr>
        <w:t>Schlichterauswahl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vereinbaren die Beauftragung von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Frau/Herr(e)n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1247"/>
        </w:tabs>
        <w:ind w:left="567" w:firstLine="567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line">
                  <wp:posOffset>67945</wp:posOffset>
                </wp:positionV>
                <wp:extent cx="125730" cy="332741"/>
                <wp:effectExtent l="0" t="0" r="0" b="0"/>
                <wp:wrapNone/>
                <wp:docPr id="1073741827" name="officeArt object" descr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32741"/>
                          <a:chOff x="0" y="0"/>
                          <a:chExt cx="125729" cy="332740"/>
                        </a:xfrm>
                      </wpg:grpSpPr>
                      <wps:wsp>
                        <wps:cNvPr id="1073741825" name="Rectangle 41"/>
                        <wps:cNvSpPr/>
                        <wps:spPr>
                          <a:xfrm>
                            <a:off x="-1" y="207009"/>
                            <a:ext cx="125731" cy="125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 42"/>
                        <wps:cNvSpPr/>
                        <wps:spPr>
                          <a:xfrm>
                            <a:off x="-1" y="-1"/>
                            <a:ext cx="125731" cy="125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0.6pt;margin-top:5.3pt;width:9.9pt;height:26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729,332740">
                <w10:wrap type="none" side="bothSides" anchorx="text"/>
                <v:rect id="_x0000_s1027" style="position:absolute;left:0;top:207010;width:125729;height:1257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25729;height:1257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hAnsi="Arial"/>
          <w:rtl w:val="0"/>
          <w:lang w:val="de-DE"/>
        </w:rPr>
        <w:t>als Einzelschlichter.</w:t>
      </w:r>
    </w:p>
    <w:p>
      <w:pPr>
        <w:pStyle w:val="Normal.0"/>
        <w:tabs>
          <w:tab w:val="left" w:pos="1247"/>
        </w:tabs>
        <w:ind w:left="567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als Schlichtergremium.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34" w:firstLine="0"/>
        <w:rPr>
          <w:sz w:val="36"/>
          <w:szCs w:val="36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1278889</wp:posOffset>
                </wp:positionH>
                <wp:positionV relativeFrom="page">
                  <wp:posOffset>3092449</wp:posOffset>
                </wp:positionV>
                <wp:extent cx="125730" cy="125730"/>
                <wp:effectExtent l="0" t="0" r="0" b="0"/>
                <wp:wrapNone/>
                <wp:docPr id="1073741828" name="officeArt object" descr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0.7pt;margin-top:243.5pt;width:9.9pt;height:9.9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Parteien haben ein Schlichtergremium bestellt. Der Schlichter Herr/Frau __________ 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gt die Verfahrensverantwortung im Sinne des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16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1 Satz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 xml:space="preserve">2. 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>Hinsichtlich der Ablehnung des Schlichters und/oder der Unm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 der Aufgaben-erf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llung durch den Schlichter wird auf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6 verwiesen.</w:t>
      </w:r>
    </w:p>
    <w:p>
      <w:pPr>
        <w:pStyle w:val="Listenabsatz1"/>
        <w:tabs>
          <w:tab w:val="left" w:pos="1134"/>
        </w:tabs>
        <w:spacing w:line="300" w:lineRule="exact"/>
        <w:ind w:left="0" w:firstLine="0"/>
      </w:pPr>
    </w:p>
    <w:p>
      <w:pPr>
        <w:pStyle w:val="Listenabsatz1"/>
        <w:tabs>
          <w:tab w:val="left" w:pos="1134"/>
        </w:tabs>
        <w:spacing w:line="300" w:lineRule="exact"/>
        <w:ind w:left="0" w:firstLine="0"/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Gerichtsverfahren und Verj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 der Anspr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che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5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 xml:space="preserve">Mit der Anrufung des Schlichters nach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17 wird die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hrung der geltend </w:t>
        <w:tab/>
        <w:t>gemachten 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bis sechs Monate nach Verfahrensbeendigung gehemmt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2 Abs.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6 Satz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1, 20).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6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Ferner vereinbaren die Parteien, dass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 der Schlichtung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in I. bezeichnete Streitigkeit bis zu deren Beendigung auf die Anrufung eines ordentlichen Gerichts oder Schiedsgerichts verzichtet wird. Ausgenommen hiervon sind Arrest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916 ff. ZPO), einstweilige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 xml:space="preserve">935 ff. ZPO,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650 d BGB) und das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Beweisverfahren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485 ff. ZPO).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6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Die Parteien vereinbaren, bereits laufende Gerichtsverfahren in Bezug auf die in I. bezeichnete Streitigkeit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hrend der Dauer der </w:t>
        <w:tab/>
        <w:t>Schlichtung nicht weiter zu betreiben.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7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Benennung als Zeuge oder Sachverst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ndige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567" w:firstLine="0"/>
        <w:rPr>
          <w:b w:val="1"/>
          <w:bCs w:val="1"/>
        </w:rPr>
      </w:pPr>
      <w:r>
        <w:rPr>
          <w:rtl w:val="0"/>
          <w:lang w:val="de-DE"/>
        </w:rPr>
        <w:t>Die Parteien vereinbaren, soweit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der Schlichtung betroffen sind, den Schlichter sowie von ihm beigezogene fachkundige Dritte nicht als Zeugen oder Sachverst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ndige/n zu benennen.</w:t>
      </w:r>
    </w:p>
    <w:p>
      <w:pPr>
        <w:pStyle w:val="Listenabsatz1"/>
        <w:spacing w:line="300" w:lineRule="exact"/>
        <w:ind w:left="0" w:firstLine="0"/>
        <w:rPr>
          <w:b w:val="1"/>
          <w:bCs w:val="1"/>
        </w:rPr>
      </w:pPr>
    </w:p>
    <w:p>
      <w:pPr>
        <w:pStyle w:val="Listenabsatz1"/>
        <w:spacing w:line="300" w:lineRule="exact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Schlichterspruch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567" w:hanging="425"/>
      </w:pPr>
      <w:r>
        <w:rPr>
          <w:rtl w:val="0"/>
        </w:rPr>
        <w:tab/>
        <w:t>Gem</w:t>
      </w:r>
      <w:r>
        <w:rPr>
          <w:rtl w:val="0"/>
          <w:lang w:val="de-DE"/>
        </w:rPr>
        <w:t>äß § </w:t>
      </w:r>
      <w:r>
        <w:rPr>
          <w:rtl w:val="0"/>
          <w:lang w:val="de-DE"/>
        </w:rPr>
        <w:t>18 Abs.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3 ist der Schlichterspruch zwischen den Parteien verbindlich, wenn nicht eine der Parteien binnen zwei Wochen nach dessen Zustellung durch schriftliche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dem Schlichter widerspricht.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Schiedsgutachten</w:t>
      </w:r>
    </w:p>
    <w:p>
      <w:pPr>
        <w:pStyle w:val="Listenabsatz1"/>
        <w:tabs>
          <w:tab w:val="left" w:pos="567"/>
          <w:tab w:val="left" w:pos="851"/>
        </w:tabs>
        <w:spacing w:line="300" w:lineRule="exact"/>
        <w:ind w:left="0" w:firstLine="0"/>
      </w:pPr>
    </w:p>
    <w:p>
      <w:pPr>
        <w:pStyle w:val="Listenabsatz1"/>
        <w:tabs>
          <w:tab w:val="left" w:pos="567"/>
        </w:tabs>
        <w:spacing w:line="300" w:lineRule="exact"/>
        <w:ind w:left="567" w:hanging="567"/>
      </w:pPr>
      <w:r>
        <w:rPr>
          <w:rtl w:val="0"/>
        </w:rPr>
        <w:tab/>
        <w:t>Gem</w:t>
      </w:r>
      <w:r>
        <w:rPr>
          <w:rtl w:val="0"/>
          <w:lang w:val="de-DE"/>
        </w:rPr>
        <w:t>äß § </w:t>
      </w:r>
      <w:r>
        <w:rPr>
          <w:rtl w:val="0"/>
          <w:lang w:val="de-DE"/>
        </w:rPr>
        <w:t>21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die Parteien den Schlichter um die Erstellung eines Schiedsgutachtens bitten. Einigen sich die Beteiligten, ist eine gesonderte Schiedsgutachtervereinbarung abzuschlie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en.</w:t>
      </w:r>
    </w:p>
    <w:p>
      <w:pPr>
        <w:pStyle w:val="Listenabsatz1"/>
        <w:tabs>
          <w:tab w:val="left" w:pos="567"/>
        </w:tabs>
        <w:spacing w:line="300" w:lineRule="exact"/>
        <w:ind w:left="567" w:hanging="567"/>
      </w:pPr>
    </w:p>
    <w:p>
      <w:pPr>
        <w:pStyle w:val="Listenabsatz1"/>
        <w:tabs>
          <w:tab w:val="left" w:pos="567"/>
        </w:tabs>
        <w:spacing w:line="300" w:lineRule="exact"/>
        <w:ind w:left="567" w:hanging="567"/>
      </w:pPr>
      <w:r>
        <w:rPr>
          <w:rtl w:val="0"/>
        </w:rPr>
        <w:tab/>
        <w:t>Dies kann nach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gabe der 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47 ff. und auf der Grundlage von einer/einem Mustervereinbarung/-vertrag zum Schiedsgutachten geschehen.</w:t>
      </w:r>
    </w:p>
    <w:p>
      <w:pPr>
        <w:pStyle w:val="Listenabsatz1"/>
        <w:tabs>
          <w:tab w:val="left" w:pos="567"/>
        </w:tabs>
        <w:spacing w:line="300" w:lineRule="exact"/>
        <w:ind w:left="567" w:hanging="567"/>
      </w:pPr>
    </w:p>
    <w:p>
      <w:pPr>
        <w:pStyle w:val="Listenabsatz1"/>
        <w:tabs>
          <w:tab w:val="left" w:pos="567"/>
        </w:tabs>
        <w:spacing w:line="300" w:lineRule="exact"/>
        <w:ind w:left="567" w:hanging="567"/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Weitere Vereinbarungen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Listenabsatz1"/>
        <w:tabs>
          <w:tab w:val="left" w:pos="567"/>
          <w:tab w:val="left" w:pos="851"/>
        </w:tabs>
        <w:spacing w:line="300" w:lineRule="exact"/>
        <w:ind w:left="0" w:firstLine="0"/>
      </w:pPr>
    </w:p>
    <w:p>
      <w:pPr>
        <w:pStyle w:val="Listenabsatz1"/>
        <w:tabs>
          <w:tab w:val="left" w:pos="567"/>
          <w:tab w:val="left" w:pos="851"/>
        </w:tabs>
        <w:spacing w:line="300" w:lineRule="exact"/>
        <w:ind w:left="0" w:firstLine="0"/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b w:val="1"/>
          <w:bCs w:val="1"/>
          <w:rtl w:val="0"/>
          <w:lang w:val="de-DE"/>
        </w:rPr>
        <w:t>Beendigung/Scheitern der Schlichtung</w:t>
      </w:r>
    </w:p>
    <w:p>
      <w:pPr>
        <w:pStyle w:val="Listenabsatz1"/>
        <w:tabs>
          <w:tab w:val="left" w:pos="567"/>
          <w:tab w:val="left" w:pos="851"/>
        </w:tabs>
        <w:spacing w:line="300" w:lineRule="exact"/>
        <w:ind w:left="0" w:firstLine="0"/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Fall des Scheiterns der Schlichtung oder eines Widerspruchs gegen den Schlichterspruch vereinbaren die Parteien ferner</w:t>
      </w:r>
    </w:p>
    <w:p>
      <w:pPr>
        <w:pStyle w:val="Listenabsatz1"/>
        <w:spacing w:line="300" w:lineRule="exact"/>
        <w:ind w:left="0" w:firstLine="0"/>
      </w:pPr>
    </w:p>
    <w:tbl>
      <w:tblPr>
        <w:tblW w:w="850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8"/>
        <w:gridCol w:w="7938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die Adjudikation nach der 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</w:t>
            </w:r>
            <w:r>
              <w:rPr>
                <w:shd w:val="nil" w:color="auto" w:fill="auto"/>
                <w:rtl w:val="0"/>
                <w:lang w:val="de-DE"/>
              </w:rPr>
              <w:t> </w:t>
            </w:r>
            <w:r>
              <w:rPr>
                <w:shd w:val="nil" w:color="auto" w:fill="auto"/>
                <w:rtl w:val="0"/>
                <w:lang w:val="de-DE"/>
              </w:rPr>
              <w:t>Juli 2020 gem</w:t>
            </w:r>
            <w:r>
              <w:rPr>
                <w:shd w:val="nil" w:color="auto" w:fill="auto"/>
                <w:rtl w:val="0"/>
                <w:lang w:val="de-DE"/>
              </w:rPr>
              <w:t xml:space="preserve">äß </w:t>
            </w:r>
            <w:r>
              <w:rPr>
                <w:shd w:val="nil" w:color="auto" w:fill="auto"/>
                <w:rtl w:val="0"/>
                <w:lang w:val="de-DE"/>
              </w:rPr>
              <w:t>beigef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gter Vereinbarung.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ein Schiedsgerichtsverfahren nach der 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</w:t>
            </w:r>
            <w:r>
              <w:rPr>
                <w:shd w:val="nil" w:color="auto" w:fill="auto"/>
                <w:rtl w:val="0"/>
                <w:lang w:val="de-DE"/>
              </w:rPr>
              <w:t> </w:t>
            </w:r>
            <w:r>
              <w:rPr>
                <w:shd w:val="nil" w:color="auto" w:fill="auto"/>
                <w:rtl w:val="0"/>
                <w:lang w:val="de-DE"/>
              </w:rPr>
              <w:t>Juli 2020 unter Ausschluss des ordentlichen Rechtsweges gem</w:t>
            </w:r>
            <w:r>
              <w:rPr>
                <w:shd w:val="nil" w:color="auto" w:fill="auto"/>
                <w:rtl w:val="0"/>
                <w:lang w:val="de-DE"/>
              </w:rPr>
              <w:t xml:space="preserve">äß </w:t>
            </w:r>
            <w:r>
              <w:rPr>
                <w:shd w:val="nil" w:color="auto" w:fill="auto"/>
                <w:rtl w:val="0"/>
                <w:lang w:val="de-DE"/>
              </w:rPr>
              <w:t>beigef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gter Vereinbarung.</w:t>
            </w:r>
          </w:p>
        </w:tc>
      </w:tr>
    </w:tbl>
    <w:p>
      <w:pPr>
        <w:pStyle w:val="Listenabsatz1"/>
        <w:widowControl w:val="0"/>
        <w:spacing w:line="240" w:lineRule="auto"/>
        <w:ind w:left="550" w:hanging="550"/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after="120" w:line="300" w:lineRule="exact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Style w:val="footnote reference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3"/>
  </w:abstractNum>
  <w:abstractNum w:abstractNumId="3">
    <w:multiLevelType w:val="hybridMultilevel"/>
    <w:styleLink w:val="Importierter Stil: 3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7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432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15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8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592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31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03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752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433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593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753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