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Vereinbarung eines Schiedsgutachtens nach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8"/>
        <w:gridCol w:w="7512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Parteien vereinbaren hiermit, ein Schiedsgutachtenverfahren nach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2020, Abschnitte I und VI,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 Die beigef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gte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wird Vertragsbestandteil. 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dieser Vereinbarung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2"/>
        </w:numPr>
        <w:bidi w:val="0"/>
        <w:spacing w:line="300" w:lineRule="exact"/>
        <w:ind w:right="0"/>
        <w:jc w:val="both"/>
        <w:rPr>
          <w:sz w:val="22"/>
          <w:szCs w:val="22"/>
          <w:rtl w:val="0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Gegenstand des Schiedsgutachtenverfahrens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spacing w:line="300" w:lineRule="exact"/>
        <w:ind w:left="567" w:firstLine="0"/>
      </w:pPr>
      <w:r>
        <w:rPr>
          <w:rtl w:val="0"/>
          <w:lang w:val="de-DE"/>
        </w:rPr>
        <w:t>Gegenstand des Schiedsgutachtenverfahrens sind folgende Feststellungen/ Bewertungen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</w:rPr>
        <w:tab/>
      </w:r>
      <w:r>
        <w:rPr>
          <w:b w:val="1"/>
          <w:bCs w:val="1"/>
          <w:rtl w:val="0"/>
          <w:lang w:val="de-DE"/>
        </w:rPr>
        <w:t>Schiedsgutachterauswahl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vereinbaren die Beauftragung von</w:t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Frau/Herrn</w:t>
      </w:r>
    </w:p>
    <w:p>
      <w:pPr>
        <w:pStyle w:val="Listenabsatz1"/>
        <w:spacing w:line="300" w:lineRule="exact"/>
        <w:ind w:left="567" w:firstLine="0"/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4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Gerichtsverfahren und Verj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 der Anspr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che</w:t>
      </w: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tabs>
          <w:tab w:val="left" w:pos="567"/>
        </w:tabs>
        <w:spacing w:line="300" w:lineRule="exact"/>
        <w:ind w:left="993" w:hanging="426"/>
      </w:pPr>
      <w:r>
        <w:rPr>
          <w:rtl w:val="0"/>
          <w:lang w:val="de-DE"/>
        </w:rPr>
        <w:t>1.</w:t>
        <w:tab/>
        <w:t xml:space="preserve">Mit der Anrufung des Schiedsgutachters nach </w:t>
      </w:r>
      <w:r>
        <w:rPr>
          <w:rtl w:val="0"/>
          <w:lang w:val="de-DE"/>
        </w:rPr>
        <w:t>§ </w:t>
      </w:r>
      <w:r>
        <w:rPr>
          <w:rtl w:val="0"/>
          <w:lang w:val="de-DE"/>
        </w:rPr>
        <w:t>48 wird die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hrung der geltend gemachten 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bis sechs Monate nach Verfahrensbeendigung gehemmt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2 Abs.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6 Satz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1, 52).</w:t>
      </w:r>
    </w:p>
    <w:p>
      <w:pPr>
        <w:pStyle w:val="Listenabsatz1"/>
        <w:tabs>
          <w:tab w:val="left" w:pos="993"/>
        </w:tabs>
        <w:spacing w:line="300" w:lineRule="exact"/>
        <w:ind w:left="0" w:firstLine="0"/>
      </w:pPr>
    </w:p>
    <w:p>
      <w:pPr>
        <w:pStyle w:val="Listenabsatz1"/>
        <w:tabs>
          <w:tab w:val="left" w:pos="993"/>
        </w:tabs>
        <w:spacing w:line="300" w:lineRule="exact"/>
        <w:ind w:left="987" w:hanging="420"/>
      </w:pPr>
      <w:r>
        <w:rPr>
          <w:rtl w:val="0"/>
          <w:lang w:val="de-DE"/>
        </w:rPr>
        <w:t>2.</w:t>
        <w:tab/>
        <w:t>Ferner vereinbaren die Parteien, dass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 des Schieds-gutachtenverfahrens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in I. bezeichnete Streitigkeit bis zu dessen Beendigung auf die Anrufung eines ordentlichen Gerichts oder Schiedsgerichts verzichtet wird. Ausgenommen hiervon sind Arrest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916 ff. ZPO), einstweilige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935 ff. ZPO, 650 d BGB) und das selbst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Beweisverfahren (</w:t>
      </w:r>
      <w:r>
        <w:rPr>
          <w:rtl w:val="0"/>
          <w:lang w:val="de-DE"/>
        </w:rPr>
        <w:t>§§ </w:t>
      </w:r>
      <w:r>
        <w:rPr>
          <w:rtl w:val="0"/>
          <w:lang w:val="de-DE"/>
        </w:rPr>
        <w:t>485 ff. ZPO).</w:t>
      </w:r>
    </w:p>
    <w:p>
      <w:pPr>
        <w:pStyle w:val="Listenabsatz1"/>
        <w:tabs>
          <w:tab w:val="left" w:pos="993"/>
        </w:tabs>
        <w:spacing w:line="300" w:lineRule="exact"/>
        <w:ind w:left="0" w:firstLine="0"/>
      </w:pPr>
    </w:p>
    <w:p>
      <w:pPr>
        <w:pStyle w:val="Listenabsatz1"/>
        <w:tabs>
          <w:tab w:val="left" w:pos="993"/>
        </w:tabs>
        <w:spacing w:line="300" w:lineRule="exact"/>
        <w:ind w:left="987" w:hanging="420"/>
      </w:pPr>
      <w:r>
        <w:rPr>
          <w:rtl w:val="0"/>
          <w:lang w:val="de-DE"/>
        </w:rPr>
        <w:t>3.</w:t>
        <w:tab/>
        <w:t>Die Parteien vereinbaren, laufende Gerichtsverfahren in Bezug auf die in I. bezeichnete Streitigkeit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Dauer des Schiedsgutachtenverfahrens nicht weiter zu betreiben.</w:t>
      </w:r>
    </w:p>
    <w:p>
      <w:pPr>
        <w:pStyle w:val="Listenabsatz1"/>
        <w:tabs>
          <w:tab w:val="left" w:pos="993"/>
        </w:tabs>
        <w:spacing w:line="300" w:lineRule="exact"/>
        <w:ind w:left="987" w:hanging="420"/>
      </w:pPr>
    </w:p>
    <w:p>
      <w:pPr>
        <w:pStyle w:val="Normal.0"/>
        <w:tabs>
          <w:tab w:val="left" w:pos="1134"/>
        </w:tabs>
        <w:spacing w:line="300" w:lineRule="exact"/>
        <w:ind w:left="567" w:hanging="567"/>
        <w:rPr>
          <w:rFonts w:ascii="Arial" w:cs="Arial" w:hAnsi="Arial" w:eastAsia="Arial"/>
        </w:rPr>
      </w:pPr>
    </w:p>
    <w:p>
      <w:pPr>
        <w:pStyle w:val="Listenabsatz1"/>
        <w:keepNext w:val="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Weitere Vereinbarungen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0"/>
  </w:abstractNum>
  <w:abstractNum w:abstractNumId="1">
    <w:multiLevelType w:val="hybridMultilevel"/>
    <w:styleLink w:val="Importierter Stil: 10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4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16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8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60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32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504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76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480" w:hanging="31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56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4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216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8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6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432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50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7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480" w:hanging="30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67"/>
          </w:tabs>
          <w:ind w:left="425" w:hanging="42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29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567"/>
          </w:tabs>
          <w:ind w:left="201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73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45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567"/>
          </w:tabs>
          <w:ind w:left="417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89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618" w:hanging="218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338" w:hanging="1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0">
    <w:name w:val="Importierter Stil: 10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